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3E4D" w:rsidRPr="00824059" w:rsidRDefault="00AF3E4D" w:rsidP="00AF3E4D">
      <w:pPr>
        <w:tabs>
          <w:tab w:val="left" w:pos="360"/>
          <w:tab w:val="left" w:pos="1080"/>
        </w:tabs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  <w:r w:rsidRPr="002D7591">
        <w:rPr>
          <w:rFonts w:ascii="宋体" w:hAnsi="宋体" w:hint="eastAsia"/>
          <w:sz w:val="28"/>
          <w:szCs w:val="32"/>
        </w:rPr>
        <w:t>附件一：</w:t>
      </w:r>
    </w:p>
    <w:p w:rsidR="00AF3E4D" w:rsidRPr="005D4AE9" w:rsidRDefault="00DA1D5D" w:rsidP="00AF3E4D">
      <w:pPr>
        <w:tabs>
          <w:tab w:val="left" w:pos="360"/>
          <w:tab w:val="left" w:pos="1080"/>
        </w:tabs>
        <w:snapToGrid w:val="0"/>
        <w:spacing w:line="360" w:lineRule="auto"/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/>
          <w:b/>
          <w:sz w:val="32"/>
          <w:szCs w:val="32"/>
        </w:rPr>
        <w:t>201</w:t>
      </w:r>
      <w:r w:rsidR="00941881">
        <w:rPr>
          <w:rFonts w:ascii="Arial" w:eastAsia="黑体" w:hAnsi="Arial" w:cs="Arial" w:hint="eastAsia"/>
          <w:b/>
          <w:sz w:val="32"/>
          <w:szCs w:val="32"/>
        </w:rPr>
        <w:t>6</w:t>
      </w:r>
      <w:r>
        <w:rPr>
          <w:rFonts w:ascii="Arial" w:eastAsia="黑体" w:hAnsi="Arial" w:cs="Arial"/>
          <w:b/>
          <w:sz w:val="32"/>
          <w:szCs w:val="32"/>
        </w:rPr>
        <w:t>年</w:t>
      </w:r>
      <w:r w:rsidR="00C05428">
        <w:rPr>
          <w:rFonts w:ascii="Arial" w:eastAsia="黑体" w:hAnsi="Arial" w:cs="Arial" w:hint="eastAsia"/>
          <w:b/>
          <w:sz w:val="32"/>
          <w:szCs w:val="32"/>
        </w:rPr>
        <w:t>秋</w:t>
      </w:r>
      <w:r w:rsidR="00AF3E4D" w:rsidRPr="005D4AE9">
        <w:rPr>
          <w:rFonts w:ascii="Arial" w:eastAsia="黑体" w:hAnsi="Arial" w:cs="Arial"/>
          <w:b/>
          <w:sz w:val="32"/>
          <w:szCs w:val="32"/>
        </w:rPr>
        <w:t>季</w:t>
      </w:r>
      <w:r w:rsidR="00173427">
        <w:rPr>
          <w:rFonts w:ascii="Arial" w:eastAsia="黑体" w:hAnsi="Arial" w:cs="Arial" w:hint="eastAsia"/>
          <w:b/>
          <w:sz w:val="32"/>
          <w:szCs w:val="32"/>
        </w:rPr>
        <w:t>入学</w:t>
      </w:r>
      <w:r w:rsidR="00530457">
        <w:rPr>
          <w:rFonts w:ascii="Arial" w:eastAsia="黑体" w:hAnsi="Arial" w:cs="Arial" w:hint="eastAsia"/>
          <w:b/>
          <w:sz w:val="32"/>
          <w:szCs w:val="32"/>
        </w:rPr>
        <w:t>院级</w:t>
      </w:r>
      <w:r w:rsidR="005C77A2" w:rsidRPr="005D4AE9">
        <w:rPr>
          <w:rFonts w:ascii="Arial" w:eastAsia="黑体" w:hAnsi="Arial" w:cs="Arial"/>
          <w:b/>
          <w:sz w:val="32"/>
          <w:szCs w:val="32"/>
        </w:rPr>
        <w:t>层面</w:t>
      </w:r>
      <w:r w:rsidR="00AF3E4D" w:rsidRPr="005D4AE9">
        <w:rPr>
          <w:rFonts w:ascii="Arial" w:eastAsia="黑体" w:hAnsi="Arial" w:cs="Arial"/>
          <w:b/>
          <w:sz w:val="32"/>
          <w:szCs w:val="32"/>
        </w:rPr>
        <w:t>出国交换学习选拔信息一览表</w:t>
      </w:r>
    </w:p>
    <w:tbl>
      <w:tblPr>
        <w:tblW w:w="10348" w:type="dxa"/>
        <w:tblInd w:w="2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A0"/>
      </w:tblPr>
      <w:tblGrid>
        <w:gridCol w:w="1276"/>
        <w:gridCol w:w="1417"/>
        <w:gridCol w:w="1067"/>
        <w:gridCol w:w="586"/>
        <w:gridCol w:w="1466"/>
        <w:gridCol w:w="1417"/>
        <w:gridCol w:w="993"/>
        <w:gridCol w:w="2126"/>
      </w:tblGrid>
      <w:tr w:rsidR="00581F46" w:rsidRPr="00890243" w:rsidTr="0003729C">
        <w:tc>
          <w:tcPr>
            <w:tcW w:w="1276" w:type="dxa"/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学校名称</w:t>
            </w:r>
          </w:p>
        </w:tc>
        <w:tc>
          <w:tcPr>
            <w:tcW w:w="1417" w:type="dxa"/>
            <w:tcBorders>
              <w:top w:val="single" w:sz="8" w:space="0" w:color="4F81BD"/>
            </w:tcBorders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选拔对象</w:t>
            </w:r>
          </w:p>
        </w:tc>
        <w:tc>
          <w:tcPr>
            <w:tcW w:w="1067" w:type="dxa"/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学习期限</w:t>
            </w:r>
          </w:p>
        </w:tc>
        <w:tc>
          <w:tcPr>
            <w:tcW w:w="586" w:type="dxa"/>
            <w:tcBorders>
              <w:top w:val="single" w:sz="8" w:space="0" w:color="4F81BD"/>
            </w:tcBorders>
            <w:shd w:val="clear" w:color="auto" w:fill="4F81BD"/>
            <w:vAlign w:val="bottom"/>
          </w:tcPr>
          <w:p w:rsidR="00581F46" w:rsidRPr="00890243" w:rsidRDefault="00581F46" w:rsidP="00890243">
            <w:pPr>
              <w:spacing w:line="40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名额</w:t>
            </w:r>
          </w:p>
        </w:tc>
        <w:tc>
          <w:tcPr>
            <w:tcW w:w="1466" w:type="dxa"/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费用</w:t>
            </w:r>
          </w:p>
        </w:tc>
        <w:tc>
          <w:tcPr>
            <w:tcW w:w="1417" w:type="dxa"/>
            <w:tcBorders>
              <w:top w:val="single" w:sz="8" w:space="0" w:color="4F81BD"/>
            </w:tcBorders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备注</w:t>
            </w:r>
          </w:p>
        </w:tc>
        <w:tc>
          <w:tcPr>
            <w:tcW w:w="993" w:type="dxa"/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绩点要求</w:t>
            </w:r>
            <w:proofErr w:type="gramEnd"/>
          </w:p>
        </w:tc>
        <w:tc>
          <w:tcPr>
            <w:tcW w:w="2126" w:type="dxa"/>
            <w:shd w:val="clear" w:color="auto" w:fill="4F81BD"/>
            <w:vAlign w:val="bottom"/>
          </w:tcPr>
          <w:p w:rsidR="00581F46" w:rsidRPr="00890243" w:rsidRDefault="00581F46" w:rsidP="00890243">
            <w:pPr>
              <w:spacing w:before="100" w:beforeAutospacing="1" w:line="52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FFFFFF"/>
                <w:sz w:val="18"/>
                <w:szCs w:val="18"/>
              </w:rPr>
              <w:t>学校相关信息</w:t>
            </w:r>
          </w:p>
        </w:tc>
      </w:tr>
      <w:tr w:rsidR="00581F46" w:rsidRPr="00890243" w:rsidTr="0003729C">
        <w:trPr>
          <w:trHeight w:val="697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81F46" w:rsidRPr="00890243" w:rsidRDefault="00581F46" w:rsidP="00890243">
            <w:pPr>
              <w:spacing w:line="4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b/>
                <w:bCs/>
                <w:color w:val="000000"/>
                <w:sz w:val="18"/>
                <w:szCs w:val="18"/>
              </w:rPr>
              <w:t>波兰波兹南经济大学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F46" w:rsidRPr="00890243" w:rsidRDefault="00581F46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本科</w:t>
            </w:r>
            <w:r w:rsidR="009D158E">
              <w:rPr>
                <w:rFonts w:ascii="宋体" w:hAnsi="宋体" w:hint="eastAsia"/>
                <w:color w:val="000000"/>
                <w:sz w:val="18"/>
                <w:szCs w:val="18"/>
              </w:rPr>
              <w:t>高年级</w:t>
            </w: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及研究生二年级</w:t>
            </w:r>
          </w:p>
        </w:tc>
        <w:tc>
          <w:tcPr>
            <w:tcW w:w="10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F46" w:rsidRPr="00890243" w:rsidRDefault="00581F46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  <w:p w:rsidR="00581F46" w:rsidRPr="00890243" w:rsidRDefault="00581F46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F46" w:rsidRPr="00890243" w:rsidRDefault="00581F46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F46" w:rsidRPr="00890243" w:rsidRDefault="00C05428" w:rsidP="00890243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缴纳</w:t>
            </w:r>
            <w:r w:rsidR="00CD4059" w:rsidRPr="00890243">
              <w:rPr>
                <w:rFonts w:hint="eastAsia"/>
                <w:color w:val="000000"/>
                <w:sz w:val="18"/>
                <w:szCs w:val="18"/>
              </w:rPr>
              <w:t>暨南大学</w:t>
            </w:r>
            <w:r w:rsidR="00FA42D0" w:rsidRPr="00890243">
              <w:rPr>
                <w:rFonts w:hint="eastAsia"/>
                <w:color w:val="000000"/>
                <w:sz w:val="18"/>
                <w:szCs w:val="18"/>
              </w:rPr>
              <w:t>学费，个人承担食宿、交通</w:t>
            </w:r>
            <w:r w:rsidR="0003729C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FA42D0" w:rsidRPr="00890243">
              <w:rPr>
                <w:rFonts w:hint="eastAsia"/>
                <w:color w:val="000000"/>
                <w:sz w:val="18"/>
                <w:szCs w:val="18"/>
              </w:rPr>
              <w:t>保险等；</w:t>
            </w:r>
            <w:r w:rsidR="0075262A" w:rsidRPr="00890243">
              <w:rPr>
                <w:rFonts w:hint="eastAsia"/>
                <w:color w:val="000000"/>
                <w:sz w:val="18"/>
                <w:szCs w:val="18"/>
              </w:rPr>
              <w:t>学生宿舍</w:t>
            </w:r>
            <w:r w:rsidR="00AA036F" w:rsidRPr="00890243">
              <w:rPr>
                <w:rFonts w:hint="eastAsia"/>
                <w:color w:val="000000"/>
                <w:sz w:val="18"/>
                <w:szCs w:val="18"/>
              </w:rPr>
              <w:t>约为</w:t>
            </w:r>
            <w:r w:rsidR="00AA036F" w:rsidRPr="00890243">
              <w:rPr>
                <w:rFonts w:hint="eastAsia"/>
                <w:color w:val="000000"/>
                <w:sz w:val="18"/>
                <w:szCs w:val="18"/>
              </w:rPr>
              <w:t>RMB900/</w:t>
            </w:r>
            <w:r w:rsidR="00AA036F" w:rsidRPr="00890243"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B1B5C" w:rsidRPr="00890243" w:rsidRDefault="00DB1B5C" w:rsidP="00890243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学期英语平均分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80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分，有雅思、托福</w:t>
            </w:r>
          </w:p>
          <w:p w:rsidR="00581F46" w:rsidRPr="00890243" w:rsidRDefault="00DB1B5C" w:rsidP="00890243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优先</w: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F46" w:rsidRPr="00890243" w:rsidRDefault="00581F46" w:rsidP="00890243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排在本专业前</w:t>
            </w:r>
            <w:r w:rsidR="00DB1B5C" w:rsidRPr="0089024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81F46" w:rsidRPr="00890243" w:rsidRDefault="00F96B69" w:rsidP="00890243">
            <w:pPr>
              <w:spacing w:line="3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FA42D0" w:rsidRPr="00890243">
                <w:rPr>
                  <w:rStyle w:val="a5"/>
                  <w:b/>
                  <w:bCs/>
                  <w:sz w:val="18"/>
                  <w:szCs w:val="18"/>
                </w:rPr>
                <w:t>http://ue.poznan.pl/en/</w:t>
              </w:r>
            </w:hyperlink>
          </w:p>
          <w:p w:rsidR="00FA42D0" w:rsidRPr="00890243" w:rsidRDefault="00FA42D0" w:rsidP="00890243">
            <w:pPr>
              <w:spacing w:line="3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1468" w:rsidRPr="00890243" w:rsidTr="0003729C">
        <w:trPr>
          <w:trHeight w:val="697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81468" w:rsidRPr="00890243" w:rsidRDefault="00581468" w:rsidP="00890243">
            <w:pPr>
              <w:spacing w:line="4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法国诺曼底高等商学院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468" w:rsidRPr="00890243" w:rsidRDefault="009D158E" w:rsidP="00834AAB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本科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高年级</w:t>
            </w: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及研究生二年级</w:t>
            </w:r>
            <w:r w:rsidR="00D50F1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116D7" w:rsidRPr="00890243" w:rsidRDefault="00F116D7" w:rsidP="00F116D7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  <w:p w:rsidR="00581468" w:rsidRPr="00890243" w:rsidRDefault="00581468" w:rsidP="00890243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468" w:rsidRPr="00890243" w:rsidRDefault="00855EA7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468" w:rsidRPr="00890243" w:rsidRDefault="00C05428" w:rsidP="00D05C85">
            <w:pPr>
              <w:spacing w:line="38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缴纳</w:t>
            </w:r>
            <w:r w:rsidR="00855EA7" w:rsidRPr="00890243">
              <w:rPr>
                <w:rFonts w:hint="eastAsia"/>
                <w:color w:val="000000"/>
                <w:sz w:val="18"/>
                <w:szCs w:val="18"/>
              </w:rPr>
              <w:t>暨南大学学费，个人承担食宿、交通</w:t>
            </w:r>
            <w:r w:rsidR="0003729C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855EA7" w:rsidRPr="00890243">
              <w:rPr>
                <w:rFonts w:hint="eastAsia"/>
                <w:color w:val="000000"/>
                <w:sz w:val="18"/>
                <w:szCs w:val="18"/>
              </w:rPr>
              <w:t>保险等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468" w:rsidRPr="00890243" w:rsidRDefault="00005F5E" w:rsidP="00890243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雅思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6.0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、托福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IBT80</w: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1468" w:rsidRPr="00974538" w:rsidRDefault="00415D84" w:rsidP="00890243">
            <w:pPr>
              <w:spacing w:line="300" w:lineRule="atLeast"/>
              <w:jc w:val="left"/>
              <w:rPr>
                <w:rStyle w:val="a5"/>
                <w:b/>
                <w:bCs/>
              </w:rPr>
            </w:pPr>
            <w:r w:rsidRPr="00974538">
              <w:rPr>
                <w:rFonts w:hint="eastAsia"/>
                <w:color w:val="000000"/>
                <w:sz w:val="18"/>
                <w:szCs w:val="18"/>
              </w:rPr>
              <w:t>排在本专业前</w:t>
            </w:r>
            <w:r w:rsidRPr="00974538">
              <w:rPr>
                <w:rFonts w:hint="eastAsia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81468" w:rsidRPr="00974538" w:rsidRDefault="00974538" w:rsidP="00890243">
            <w:pPr>
              <w:spacing w:line="300" w:lineRule="atLeast"/>
              <w:jc w:val="center"/>
              <w:rPr>
                <w:rStyle w:val="a5"/>
              </w:rPr>
            </w:pPr>
            <w:r w:rsidRPr="00974538">
              <w:rPr>
                <w:rStyle w:val="a5"/>
              </w:rPr>
              <w:t>http://www.ecole-management-normandie.fr/</w:t>
            </w:r>
          </w:p>
        </w:tc>
      </w:tr>
      <w:tr w:rsidR="00415D84" w:rsidRPr="00890243" w:rsidTr="0003729C">
        <w:trPr>
          <w:trHeight w:val="697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Default="00415D84" w:rsidP="00890243">
            <w:pPr>
              <w:spacing w:line="4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EDC Paris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Pr="00890243" w:rsidRDefault="00415D84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本科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高年级</w:t>
            </w: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及</w:t>
            </w:r>
            <w:r w:rsidRPr="009D158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专业学位</w:t>
            </w:r>
            <w:r w:rsidRPr="00890243">
              <w:rPr>
                <w:rFonts w:ascii="宋体" w:hAnsi="宋体" w:hint="eastAsia"/>
                <w:color w:val="000000"/>
                <w:sz w:val="18"/>
                <w:szCs w:val="18"/>
              </w:rPr>
              <w:t>研究生二年级</w:t>
            </w:r>
          </w:p>
        </w:tc>
        <w:tc>
          <w:tcPr>
            <w:tcW w:w="10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Pr="00890243" w:rsidRDefault="00415D84" w:rsidP="00F116D7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  <w:p w:rsidR="00415D84" w:rsidRPr="00890243" w:rsidRDefault="00415D84" w:rsidP="00890243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Pr="00890243" w:rsidRDefault="00415D84" w:rsidP="00890243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Pr="00890243" w:rsidRDefault="00C05428" w:rsidP="00D05C85">
            <w:pPr>
              <w:spacing w:line="38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缴纳</w:t>
            </w:r>
            <w:r w:rsidR="00415D84" w:rsidRPr="00890243">
              <w:rPr>
                <w:rFonts w:hint="eastAsia"/>
                <w:color w:val="000000"/>
                <w:sz w:val="18"/>
                <w:szCs w:val="18"/>
              </w:rPr>
              <w:t>暨南大学学费，个人承担食宿、交通</w:t>
            </w:r>
            <w:r w:rsidR="00415D8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415D84" w:rsidRPr="00890243">
              <w:rPr>
                <w:rFonts w:hint="eastAsia"/>
                <w:color w:val="000000"/>
                <w:sz w:val="18"/>
                <w:szCs w:val="18"/>
              </w:rPr>
              <w:t>保险等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Pr="00890243" w:rsidRDefault="00415D84" w:rsidP="00022D9F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学期英语平均分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80</w:t>
            </w:r>
            <w:r w:rsidRPr="00890243">
              <w:rPr>
                <w:rFonts w:hint="eastAsia"/>
                <w:color w:val="000000"/>
                <w:sz w:val="18"/>
                <w:szCs w:val="18"/>
              </w:rPr>
              <w:t>分，有雅思、托福</w:t>
            </w:r>
          </w:p>
          <w:p w:rsidR="00415D84" w:rsidRPr="00890243" w:rsidRDefault="00415D84" w:rsidP="00022D9F"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  <w:r w:rsidRPr="00890243">
              <w:rPr>
                <w:rFonts w:hint="eastAsia"/>
                <w:color w:val="000000"/>
                <w:sz w:val="18"/>
                <w:szCs w:val="18"/>
              </w:rPr>
              <w:t>优先</w: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15D84" w:rsidRPr="00890243" w:rsidRDefault="00415D84" w:rsidP="008E6D3A">
            <w:pPr>
              <w:spacing w:line="30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15D84" w:rsidRPr="00B33DBD" w:rsidRDefault="00B33DBD" w:rsidP="00890243">
            <w:pPr>
              <w:spacing w:line="300" w:lineRule="atLeast"/>
              <w:jc w:val="center"/>
              <w:rPr>
                <w:rStyle w:val="a5"/>
              </w:rPr>
            </w:pPr>
            <w:r w:rsidRPr="00B33DBD">
              <w:rPr>
                <w:rStyle w:val="a5"/>
              </w:rPr>
              <w:t>http://www.edcparis.edu/category/edc-paris/</w:t>
            </w:r>
          </w:p>
        </w:tc>
      </w:tr>
    </w:tbl>
    <w:p w:rsidR="00516F96" w:rsidRDefault="00516F96"/>
    <w:p w:rsidR="00941881" w:rsidRDefault="00516F96" w:rsidP="008C197E">
      <w:pPr>
        <w:ind w:firstLineChars="50" w:firstLine="105"/>
        <w:rPr>
          <w:szCs w:val="21"/>
        </w:rPr>
      </w:pPr>
      <w:r w:rsidRPr="008C197E">
        <w:rPr>
          <w:rFonts w:hint="eastAsia"/>
          <w:szCs w:val="21"/>
        </w:rPr>
        <w:t>注：</w:t>
      </w:r>
    </w:p>
    <w:p w:rsidR="00941881" w:rsidRDefault="00941881" w:rsidP="008C197E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年级限制以派出时间为准，即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 w:rsidR="00FF5166">
        <w:rPr>
          <w:rFonts w:hint="eastAsia"/>
          <w:szCs w:val="21"/>
        </w:rPr>
        <w:t>秋</w:t>
      </w:r>
      <w:r>
        <w:rPr>
          <w:rFonts w:hint="eastAsia"/>
          <w:szCs w:val="21"/>
        </w:rPr>
        <w:t>季派出时达到年级要求即可。</w:t>
      </w:r>
    </w:p>
    <w:p w:rsidR="002556E0" w:rsidRDefault="00941881" w:rsidP="008C197E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2. </w:t>
      </w:r>
      <w:r w:rsidR="00516F96" w:rsidRPr="008C197E">
        <w:rPr>
          <w:rFonts w:hint="eastAsia"/>
          <w:szCs w:val="21"/>
        </w:rPr>
        <w:t>因签证、选拔条件变更等原因，部分原有的交换项目需要调整，故本次选拔没有涵盖所有项目。</w:t>
      </w:r>
    </w:p>
    <w:p w:rsidR="002556E0" w:rsidRPr="002556E0" w:rsidRDefault="002556E0" w:rsidP="002556E0">
      <w:pPr>
        <w:rPr>
          <w:szCs w:val="21"/>
        </w:rPr>
      </w:pPr>
    </w:p>
    <w:p w:rsidR="002556E0" w:rsidRPr="002556E0" w:rsidRDefault="002556E0" w:rsidP="002556E0">
      <w:pPr>
        <w:rPr>
          <w:szCs w:val="21"/>
        </w:rPr>
      </w:pPr>
    </w:p>
    <w:p w:rsidR="002556E0" w:rsidRPr="002556E0" w:rsidRDefault="002556E0" w:rsidP="002556E0">
      <w:pPr>
        <w:rPr>
          <w:szCs w:val="21"/>
        </w:rPr>
      </w:pPr>
    </w:p>
    <w:p w:rsidR="002556E0" w:rsidRPr="002556E0" w:rsidRDefault="002556E0" w:rsidP="002556E0">
      <w:pPr>
        <w:rPr>
          <w:szCs w:val="21"/>
        </w:rPr>
      </w:pPr>
    </w:p>
    <w:p w:rsidR="002556E0" w:rsidRDefault="002556E0" w:rsidP="002556E0">
      <w:pPr>
        <w:rPr>
          <w:szCs w:val="21"/>
        </w:rPr>
      </w:pPr>
    </w:p>
    <w:sectPr w:rsidR="002556E0" w:rsidSect="00BC0F75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AD" w:rsidRDefault="00271AAD" w:rsidP="00AF3E4D">
      <w:r>
        <w:separator/>
      </w:r>
    </w:p>
  </w:endnote>
  <w:endnote w:type="continuationSeparator" w:id="0">
    <w:p w:rsidR="00271AAD" w:rsidRDefault="00271AAD" w:rsidP="00AF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AD" w:rsidRDefault="00271AAD" w:rsidP="00AF3E4D">
      <w:r>
        <w:separator/>
      </w:r>
    </w:p>
  </w:footnote>
  <w:footnote w:type="continuationSeparator" w:id="0">
    <w:p w:rsidR="00271AAD" w:rsidRDefault="00271AAD" w:rsidP="00AF3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4D" w:rsidRDefault="00AF3E4D" w:rsidP="00954B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F5E"/>
    <w:rsid w:val="00015E27"/>
    <w:rsid w:val="00022D9F"/>
    <w:rsid w:val="0003729C"/>
    <w:rsid w:val="001217EE"/>
    <w:rsid w:val="00123B4A"/>
    <w:rsid w:val="001514D0"/>
    <w:rsid w:val="00172A27"/>
    <w:rsid w:val="00173427"/>
    <w:rsid w:val="001B1AB2"/>
    <w:rsid w:val="001F1CC1"/>
    <w:rsid w:val="00216BC1"/>
    <w:rsid w:val="002236B6"/>
    <w:rsid w:val="002556E0"/>
    <w:rsid w:val="00271AAD"/>
    <w:rsid w:val="002A49DA"/>
    <w:rsid w:val="002F11F0"/>
    <w:rsid w:val="002F4DE9"/>
    <w:rsid w:val="0031581D"/>
    <w:rsid w:val="003160C7"/>
    <w:rsid w:val="003229BC"/>
    <w:rsid w:val="003240DF"/>
    <w:rsid w:val="00345696"/>
    <w:rsid w:val="003D393F"/>
    <w:rsid w:val="003E2F24"/>
    <w:rsid w:val="003F0C9D"/>
    <w:rsid w:val="004154A8"/>
    <w:rsid w:val="00415D84"/>
    <w:rsid w:val="00443D17"/>
    <w:rsid w:val="00483FA3"/>
    <w:rsid w:val="004C46B1"/>
    <w:rsid w:val="00516F96"/>
    <w:rsid w:val="00530457"/>
    <w:rsid w:val="00546CF0"/>
    <w:rsid w:val="00581468"/>
    <w:rsid w:val="00581F46"/>
    <w:rsid w:val="005832D3"/>
    <w:rsid w:val="00594EE5"/>
    <w:rsid w:val="005A3718"/>
    <w:rsid w:val="005C77A2"/>
    <w:rsid w:val="005D4AE9"/>
    <w:rsid w:val="006126F4"/>
    <w:rsid w:val="0064755F"/>
    <w:rsid w:val="006673B9"/>
    <w:rsid w:val="006C32CF"/>
    <w:rsid w:val="006F53BF"/>
    <w:rsid w:val="007372E9"/>
    <w:rsid w:val="0075262A"/>
    <w:rsid w:val="007A4FF9"/>
    <w:rsid w:val="007A65EB"/>
    <w:rsid w:val="007B6B9E"/>
    <w:rsid w:val="007C3290"/>
    <w:rsid w:val="007C5F9E"/>
    <w:rsid w:val="008257D6"/>
    <w:rsid w:val="00834AAB"/>
    <w:rsid w:val="00855EA7"/>
    <w:rsid w:val="00856160"/>
    <w:rsid w:val="00890243"/>
    <w:rsid w:val="008C197E"/>
    <w:rsid w:val="008E6D3A"/>
    <w:rsid w:val="008F37FB"/>
    <w:rsid w:val="00941881"/>
    <w:rsid w:val="00954B0E"/>
    <w:rsid w:val="00974538"/>
    <w:rsid w:val="009811BD"/>
    <w:rsid w:val="009C6F31"/>
    <w:rsid w:val="009D06C6"/>
    <w:rsid w:val="009D158E"/>
    <w:rsid w:val="009F330C"/>
    <w:rsid w:val="00A2008D"/>
    <w:rsid w:val="00A3280F"/>
    <w:rsid w:val="00AA036F"/>
    <w:rsid w:val="00AA5D03"/>
    <w:rsid w:val="00AB24D1"/>
    <w:rsid w:val="00AC173F"/>
    <w:rsid w:val="00AC6A3C"/>
    <w:rsid w:val="00AF3E4D"/>
    <w:rsid w:val="00B33DBD"/>
    <w:rsid w:val="00B53AEA"/>
    <w:rsid w:val="00B71FC2"/>
    <w:rsid w:val="00BC0F75"/>
    <w:rsid w:val="00BF5169"/>
    <w:rsid w:val="00C05428"/>
    <w:rsid w:val="00C942A8"/>
    <w:rsid w:val="00CD4059"/>
    <w:rsid w:val="00D05C85"/>
    <w:rsid w:val="00D42E2D"/>
    <w:rsid w:val="00D50F16"/>
    <w:rsid w:val="00DA1D5D"/>
    <w:rsid w:val="00DB1B5C"/>
    <w:rsid w:val="00E22730"/>
    <w:rsid w:val="00E567AB"/>
    <w:rsid w:val="00EB2632"/>
    <w:rsid w:val="00F116D7"/>
    <w:rsid w:val="00F17E64"/>
    <w:rsid w:val="00F932D2"/>
    <w:rsid w:val="00F96B69"/>
    <w:rsid w:val="00FA42D0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6B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96B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rsid w:val="00FA42D0"/>
    <w:rPr>
      <w:color w:val="0000FF"/>
      <w:u w:val="single"/>
    </w:rPr>
  </w:style>
  <w:style w:type="table" w:customStyle="1" w:styleId="-11">
    <w:name w:val="浅色列表 - 强调文字颜色 11"/>
    <w:basedOn w:val="a1"/>
    <w:uiPriority w:val="61"/>
    <w:rsid w:val="00BC0F7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e.poznan.pl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579</CharactersWithSpaces>
  <SharedDoc>false</SharedDoc>
  <HLinks>
    <vt:vector size="12" baseType="variant">
      <vt:variant>
        <vt:i4>7864416</vt:i4>
      </vt:variant>
      <vt:variant>
        <vt:i4>3</vt:i4>
      </vt:variant>
      <vt:variant>
        <vt:i4>0</vt:i4>
      </vt:variant>
      <vt:variant>
        <vt:i4>5</vt:i4>
      </vt:variant>
      <vt:variant>
        <vt:lpwstr>http://www.nucba.ac.jp/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http://ue.poznan.pl/en/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2016-03-03T03:00:00Z</dcterms:created>
  <dcterms:modified xsi:type="dcterms:W3CDTF">2016-03-03T08:47:00Z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