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8B" w:rsidRPr="00AF39EC" w:rsidRDefault="003D7E8E" w:rsidP="0080528B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MicrosoftYaHei-Identity-H"/>
          <w:kern w:val="0"/>
          <w:sz w:val="28"/>
          <w:szCs w:val="28"/>
        </w:rPr>
      </w:pPr>
      <w:r>
        <w:rPr>
          <w:rFonts w:ascii="黑体" w:eastAsia="黑体" w:hAnsi="黑体" w:cs="MicrosoftYaHei-Identity-H" w:hint="eastAsia"/>
          <w:kern w:val="0"/>
          <w:sz w:val="28"/>
          <w:szCs w:val="28"/>
        </w:rPr>
        <w:t>附件2：</w:t>
      </w:r>
      <w:r w:rsidR="000B3AAE">
        <w:rPr>
          <w:rFonts w:ascii="黑体" w:eastAsia="黑体" w:hAnsi="黑体" w:cs="MicrosoftYaHei-Identity-H" w:hint="eastAsia"/>
          <w:kern w:val="0"/>
          <w:sz w:val="28"/>
          <w:szCs w:val="28"/>
        </w:rPr>
        <w:t>第四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届全国管理案例精英赛（</w:t>
      </w:r>
      <w:r w:rsidR="000B3AAE">
        <w:rPr>
          <w:rFonts w:ascii="黑体" w:eastAsia="黑体" w:hAnsi="黑体" w:cs="MicrosoftYaHei-Identity-H" w:hint="eastAsia"/>
          <w:kern w:val="0"/>
          <w:sz w:val="28"/>
          <w:szCs w:val="28"/>
        </w:rPr>
        <w:t>2016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）比赛规则及评分表</w:t>
      </w:r>
    </w:p>
    <w:p w:rsidR="00154DF0" w:rsidRPr="005F4361" w:rsidRDefault="00154DF0" w:rsidP="000B3AAE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1.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比赛规则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Chars="250" w:firstLine="602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b/>
          <w:kern w:val="0"/>
          <w:sz w:val="24"/>
        </w:rPr>
        <w:t>1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）比赛采用大小PK制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每次上台两支队伍，比赛所有流程按主持人提示进行。超时扣分。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b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）第一环节：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小PK（30分钟 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）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程序如下：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①甲乙两队上场，甲队陈述，乙队针对甲队陈述提问；乙队陈述，甲队针对乙队陈述提问。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③台上提问者可指定对方某位队员回答，被指定队员回答完毕后，其他台上或台下队员方可补充，如有两名及以上者举手补充，由主持人指定补充回答队员。不能连续提问某位指定队员。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Chars="250" w:firstLine="60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3）第二环节：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大PK（20分钟）程序如下：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①台下队伍、观众向台上两支队伍提问（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8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分钟），每次提问不得超过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30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秒。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下每支队伍每次只能针对台上的一支队伍提一个问题，如果追问算第二次提问。台下队伍或观众可指定台上某位队员回答，被指定队员回答完毕后，其他台上或台下队员方可补充。不能连续提问某位指定队员。台下观众每次只能提一个问题，每次问答时间共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分钟，观众提问不计分。问答双方请起立。如果台下队伍没有问题，主持人可以提前结束台下队伍提问环节。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③台下评委向台上队伍提问（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评委提问不限时间，但请尽可能简短。问答共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分钟。台上队伍回答请起立，每次回答时间不得超过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分钟。如果评委没有问题，主持人可以取消或提前结束评委提问环节。</w:t>
      </w:r>
    </w:p>
    <w:p w:rsidR="0016006B" w:rsidRPr="005F4361" w:rsidRDefault="005C7246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补充说明</w:t>
      </w:r>
      <w:r w:rsidR="0016006B"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：</w:t>
      </w:r>
    </w:p>
    <w:p w:rsidR="0016006B" w:rsidRPr="005F4361" w:rsidRDefault="0016006B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(1)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去掉极值分数，即每场比赛所有评委打分中去掉一个最高分一个最低分；</w:t>
      </w:r>
    </w:p>
    <w:p w:rsidR="0016006B" w:rsidRPr="005F4361" w:rsidRDefault="0016006B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(2)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案例大赛分为赛前盲审和现场竞赛两个环节，每支参赛队伍的分数为两个环节得分的加总。其中，赛前盲审环节分值为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40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分，评分标准及要点参见盲审</w:t>
      </w:r>
      <w:r w:rsidR="00917E45">
        <w:rPr>
          <w:rFonts w:asciiTheme="minorEastAsia" w:eastAsiaTheme="minorEastAsia" w:hAnsiTheme="minorEastAsia" w:cs="MicrosoftYaHei-Identity-H" w:hint="eastAsia"/>
          <w:kern w:val="0"/>
          <w:sz w:val="24"/>
        </w:rPr>
        <w:lastRenderedPageBreak/>
        <w:t>阶段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评分表；现场竞赛环节分值为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60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分，评分标准及要点参见现场</w:t>
      </w:r>
      <w:r w:rsidR="00917E45">
        <w:rPr>
          <w:rFonts w:asciiTheme="minorEastAsia" w:eastAsiaTheme="minorEastAsia" w:hAnsiTheme="minorEastAsia" w:cs="MicrosoftYaHei-Identity-H" w:hint="eastAsia"/>
          <w:kern w:val="0"/>
          <w:sz w:val="24"/>
        </w:rPr>
        <w:t>阶段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评分表。参赛队伍于现场比赛正式开始前</w:t>
      </w:r>
      <w:r w:rsidR="000616F2">
        <w:rPr>
          <w:rFonts w:asciiTheme="minorEastAsia" w:eastAsiaTheme="minorEastAsia" w:hAnsiTheme="minorEastAsia" w:cs="MicrosoftYaHei-Identity-H" w:hint="eastAsia"/>
          <w:kern w:val="0"/>
          <w:sz w:val="24"/>
        </w:rPr>
        <w:t>规定时间内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提交案例分析报告，逾期未交者取消比赛资格。</w:t>
      </w:r>
    </w:p>
    <w:p w:rsidR="009F75C3" w:rsidRDefault="0016006B" w:rsidP="003744F2">
      <w:pPr>
        <w:autoSpaceDE w:val="0"/>
        <w:autoSpaceDN w:val="0"/>
        <w:adjustRightInd w:val="0"/>
        <w:spacing w:line="360" w:lineRule="auto"/>
        <w:ind w:leftChars="-67" w:left="1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(3)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评委打分现场公开；</w:t>
      </w:r>
      <w:r w:rsidR="003744F2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 </w:t>
      </w:r>
    </w:p>
    <w:p w:rsidR="003744F2" w:rsidRDefault="003744F2" w:rsidP="003744F2">
      <w:pPr>
        <w:autoSpaceDE w:val="0"/>
        <w:autoSpaceDN w:val="0"/>
        <w:adjustRightInd w:val="0"/>
        <w:spacing w:line="360" w:lineRule="auto"/>
        <w:ind w:leftChars="-67" w:left="1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(4)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增加企业评委；</w:t>
      </w: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16006B" w:rsidRPr="003744F2" w:rsidRDefault="003744F2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2</w:t>
      </w:r>
      <w:r w:rsidRPr="00A22921">
        <w:rPr>
          <w:rFonts w:ascii="MicrosoftYaHei-Identity-H" w:eastAsia="MicrosoftYaHei-Identity-H" w:cs="MicrosoftYaHei-Identity-H"/>
          <w:b/>
          <w:kern w:val="0"/>
          <w:sz w:val="24"/>
        </w:rPr>
        <w:t>.</w:t>
      </w:r>
      <w:r w:rsidRPr="00A22921">
        <w:rPr>
          <w:rFonts w:ascii="MicrosoftYaHei-Identity-H" w:eastAsia="MicrosoftYaHei-Identity-H" w:cs="MicrosoftYaHei-Identity-H" w:hint="eastAsia"/>
          <w:b/>
          <w:kern w:val="0"/>
          <w:sz w:val="24"/>
        </w:rPr>
        <w:t>评分规则</w:t>
      </w: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（表1和表2，共计100分）</w:t>
      </w:r>
    </w:p>
    <w:tbl>
      <w:tblPr>
        <w:tblpPr w:leftFromText="180" w:rightFromText="180" w:vertAnchor="page" w:horzAnchor="margin" w:tblpY="5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640"/>
        <w:gridCol w:w="2493"/>
        <w:gridCol w:w="2555"/>
      </w:tblGrid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表1</w:t>
            </w:r>
            <w:r w:rsidR="000B3AAE">
              <w:rPr>
                <w:rFonts w:asciiTheme="minorEastAsia" w:eastAsiaTheme="minorEastAsia" w:hAnsiTheme="minorEastAsia" w:hint="eastAsia"/>
                <w:sz w:val="24"/>
              </w:rPr>
              <w:t>：第四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届全国管理案例精英赛（</w:t>
            </w:r>
            <w:r w:rsidR="000B3AAE">
              <w:rPr>
                <w:rFonts w:asciiTheme="minorEastAsia" w:eastAsiaTheme="minorEastAsia" w:hAnsiTheme="minorEastAsia"/>
                <w:sz w:val="24"/>
              </w:rPr>
              <w:t>201</w:t>
            </w:r>
            <w:r w:rsidR="000B3AAE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 盲审阶段评分表（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</w:tr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44F2" w:rsidRPr="00372834" w:rsidTr="009F75C3">
        <w:trPr>
          <w:trHeight w:val="794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案例问题解决方案的合理性（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案例问题解决方案的可行性（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621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2493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0890" w:rsidRPr="003744F2" w:rsidRDefault="00730890" w:rsidP="00BE070E">
      <w:pPr>
        <w:spacing w:line="480" w:lineRule="exac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6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073"/>
        <w:gridCol w:w="3030"/>
        <w:gridCol w:w="2018"/>
      </w:tblGrid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834" w:rsidRPr="00372834" w:rsidRDefault="00372834" w:rsidP="00372834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表2</w:t>
            </w:r>
            <w:r w:rsidR="000B3AAE">
              <w:rPr>
                <w:rFonts w:asciiTheme="minorEastAsia" w:eastAsiaTheme="minorEastAsia" w:hAnsiTheme="minorEastAsia" w:hint="eastAsia"/>
                <w:sz w:val="24"/>
              </w:rPr>
              <w:t>：第四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届全国管理案例精英赛（</w:t>
            </w:r>
            <w:r w:rsidR="000B3AAE">
              <w:rPr>
                <w:rFonts w:asciiTheme="minorEastAsia" w:eastAsiaTheme="minorEastAsia" w:hAnsiTheme="minorEastAsia"/>
                <w:sz w:val="24"/>
              </w:rPr>
              <w:t>201</w:t>
            </w:r>
            <w:r w:rsidR="000B3AAE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）现场阶段评分表（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60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372834" w:rsidRDefault="00372834" w:rsidP="00372834">
            <w:pPr>
              <w:widowControl/>
              <w:jc w:val="left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2834" w:rsidRPr="00372834" w:rsidTr="00372834">
        <w:trPr>
          <w:trHeight w:val="794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案例问题识别与分析的逻辑性与严谨性（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案例问题解决方案的创新性与有效性（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现场提问及回答的专业性与应变能力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现场表现</w:t>
            </w:r>
          </w:p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20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语言表达的流畅性（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方案陈述的时间控制（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团队精神风貌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团队分工与合作（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621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372834" w:rsidRPr="00BE070E" w:rsidRDefault="00372834" w:rsidP="00BE070E">
      <w:pPr>
        <w:spacing w:line="480" w:lineRule="exact"/>
        <w:rPr>
          <w:rFonts w:ascii="黑体" w:eastAsia="黑体" w:hAnsi="黑体"/>
          <w:sz w:val="24"/>
        </w:rPr>
      </w:pPr>
    </w:p>
    <w:p w:rsidR="00154DF0" w:rsidRPr="00372834" w:rsidRDefault="00154DF0" w:rsidP="00372834">
      <w:pPr>
        <w:widowControl/>
        <w:jc w:val="left"/>
        <w:rPr>
          <w:rFonts w:ascii="黑体" w:eastAsia="黑体" w:hAnsi="黑体"/>
          <w:sz w:val="36"/>
          <w:szCs w:val="36"/>
        </w:rPr>
      </w:pPr>
    </w:p>
    <w:sectPr w:rsidR="00154DF0" w:rsidRPr="00372834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36" w:rsidRDefault="005B2036" w:rsidP="00154DF0">
      <w:r>
        <w:separator/>
      </w:r>
    </w:p>
  </w:endnote>
  <w:endnote w:type="continuationSeparator" w:id="1">
    <w:p w:rsidR="005B2036" w:rsidRDefault="005B2036" w:rsidP="0015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36" w:rsidRDefault="005B2036" w:rsidP="00154DF0">
      <w:r>
        <w:separator/>
      </w:r>
    </w:p>
  </w:footnote>
  <w:footnote w:type="continuationSeparator" w:id="1">
    <w:p w:rsidR="005B2036" w:rsidRDefault="005B2036" w:rsidP="00154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DF0"/>
    <w:rsid w:val="000235C5"/>
    <w:rsid w:val="000616F2"/>
    <w:rsid w:val="000B3AAE"/>
    <w:rsid w:val="00154DF0"/>
    <w:rsid w:val="0016006B"/>
    <w:rsid w:val="001B7F3D"/>
    <w:rsid w:val="00372834"/>
    <w:rsid w:val="003744F2"/>
    <w:rsid w:val="003A5E64"/>
    <w:rsid w:val="003D7E8E"/>
    <w:rsid w:val="005B2036"/>
    <w:rsid w:val="005C7246"/>
    <w:rsid w:val="005D45D7"/>
    <w:rsid w:val="005F4361"/>
    <w:rsid w:val="00730890"/>
    <w:rsid w:val="0080528B"/>
    <w:rsid w:val="00905839"/>
    <w:rsid w:val="00917E45"/>
    <w:rsid w:val="009F75C3"/>
    <w:rsid w:val="00A12358"/>
    <w:rsid w:val="00AC2D4B"/>
    <w:rsid w:val="00AF39EC"/>
    <w:rsid w:val="00BE070E"/>
    <w:rsid w:val="00C42DB3"/>
    <w:rsid w:val="00C92F67"/>
    <w:rsid w:val="00CC40D8"/>
    <w:rsid w:val="00D950FA"/>
    <w:rsid w:val="00F9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DF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B3AA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3AA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2015-05-11T07:02:00Z</cp:lastPrinted>
  <dcterms:created xsi:type="dcterms:W3CDTF">2015-05-11T01:58:00Z</dcterms:created>
  <dcterms:modified xsi:type="dcterms:W3CDTF">2016-03-01T08:31:00Z</dcterms:modified>
</cp:coreProperties>
</file>